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23" w:rsidRDefault="006F5C23">
      <w:pPr>
        <w:pStyle w:val="ConsPlusNormal"/>
        <w:jc w:val="both"/>
        <w:outlineLvl w:val="0"/>
      </w:pPr>
      <w:bookmarkStart w:id="0" w:name="_GoBack"/>
      <w:bookmarkEnd w:id="0"/>
    </w:p>
    <w:p w:rsidR="006F5C23" w:rsidRDefault="00C05E85">
      <w:pPr>
        <w:pStyle w:val="ConsPlusTitle"/>
        <w:jc w:val="center"/>
        <w:outlineLvl w:val="0"/>
      </w:pPr>
      <w:r>
        <w:t>ПРАВИТЕЛЬСТВО ПЕРМСКОГО КРАЯ</w:t>
      </w:r>
    </w:p>
    <w:p w:rsidR="006F5C23" w:rsidRDefault="006F5C23">
      <w:pPr>
        <w:pStyle w:val="ConsPlusTitle"/>
        <w:jc w:val="both"/>
      </w:pPr>
    </w:p>
    <w:p w:rsidR="006F5C23" w:rsidRDefault="00C05E85">
      <w:pPr>
        <w:pStyle w:val="ConsPlusTitle"/>
        <w:jc w:val="center"/>
      </w:pPr>
      <w:r>
        <w:t>ПОСТАНОВЛЕНИЕ</w:t>
      </w:r>
    </w:p>
    <w:p w:rsidR="006F5C23" w:rsidRDefault="00C05E85">
      <w:pPr>
        <w:pStyle w:val="ConsPlusTitle"/>
        <w:jc w:val="center"/>
      </w:pPr>
      <w:r>
        <w:t>от 13 февраля 2024 г. N 96-п</w:t>
      </w:r>
    </w:p>
    <w:p w:rsidR="006F5C23" w:rsidRDefault="006F5C23">
      <w:pPr>
        <w:pStyle w:val="ConsPlusTitle"/>
        <w:jc w:val="both"/>
      </w:pPr>
    </w:p>
    <w:p w:rsidR="006F5C23" w:rsidRDefault="00C05E85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6F5C23" w:rsidRDefault="00C05E85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6F5C23" w:rsidRDefault="00C05E85">
      <w:pPr>
        <w:pStyle w:val="ConsPlusTitle"/>
        <w:jc w:val="center"/>
      </w:pPr>
      <w:r>
        <w:t>НА 2024 ГОД И НА ПЛАНОВЫЙ ПЕРИОД 2025 И 2026 ГОДОВ</w:t>
      </w:r>
    </w:p>
    <w:p w:rsidR="006F5C23" w:rsidRDefault="006F5C23">
      <w:pPr>
        <w:pStyle w:val="ConsPlusNormal"/>
        <w:jc w:val="both"/>
      </w:pPr>
    </w:p>
    <w:p w:rsidR="006F5C23" w:rsidRDefault="00C05E85">
      <w:pPr>
        <w:pStyle w:val="ConsPlusNormal"/>
        <w:jc w:val="right"/>
        <w:outlineLvl w:val="0"/>
      </w:pPr>
      <w:r>
        <w:t>УТВЕРЖДЕНА</w:t>
      </w:r>
    </w:p>
    <w:p w:rsidR="006F5C23" w:rsidRDefault="00C05E85">
      <w:pPr>
        <w:pStyle w:val="ConsPlusNormal"/>
        <w:jc w:val="right"/>
      </w:pPr>
      <w:r>
        <w:t>постановлением</w:t>
      </w:r>
    </w:p>
    <w:p w:rsidR="006F5C23" w:rsidRDefault="00C05E85">
      <w:pPr>
        <w:pStyle w:val="ConsPlusNormal"/>
        <w:jc w:val="right"/>
      </w:pPr>
      <w:r>
        <w:t>Правительства</w:t>
      </w:r>
    </w:p>
    <w:p w:rsidR="006F5C23" w:rsidRDefault="00C05E85">
      <w:pPr>
        <w:pStyle w:val="ConsPlusNormal"/>
        <w:jc w:val="right"/>
      </w:pPr>
      <w:r>
        <w:t>Пермского края</w:t>
      </w:r>
    </w:p>
    <w:p w:rsidR="006F5C23" w:rsidRDefault="00C05E85">
      <w:pPr>
        <w:pStyle w:val="ConsPlusNormal"/>
        <w:jc w:val="right"/>
      </w:pPr>
      <w:r>
        <w:t>от 13.02.2024 N 96-п</w:t>
      </w:r>
    </w:p>
    <w:p w:rsidR="006F5C23" w:rsidRDefault="006F5C23">
      <w:pPr>
        <w:pStyle w:val="ConsPlusNormal"/>
        <w:jc w:val="both"/>
      </w:pPr>
    </w:p>
    <w:p w:rsidR="006F5C23" w:rsidRDefault="00C05E85">
      <w:pPr>
        <w:pStyle w:val="ConsPlusTitle"/>
        <w:jc w:val="center"/>
      </w:pPr>
      <w:bookmarkStart w:id="1" w:name="Par33"/>
      <w:bookmarkEnd w:id="1"/>
      <w:r>
        <w:t>ТЕРРИТОРИАЛЬНАЯ ПРОГРАММА</w:t>
      </w:r>
    </w:p>
    <w:p w:rsidR="006F5C23" w:rsidRDefault="00C05E85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6F5C23" w:rsidRDefault="00C05E85">
      <w:pPr>
        <w:pStyle w:val="ConsPlusTitle"/>
        <w:jc w:val="center"/>
      </w:pPr>
      <w:r>
        <w:t>МЕДИЦИНСКОЙ ПОМОЩИ НА 2024 ГОД И НА ПЛАНОВЫЙ ПЕРИОД</w:t>
      </w:r>
    </w:p>
    <w:p w:rsidR="006F5C23" w:rsidRDefault="00C05E85">
      <w:pPr>
        <w:pStyle w:val="ConsPlusTitle"/>
        <w:jc w:val="center"/>
      </w:pPr>
      <w:r>
        <w:t>2025 И 2026 ГОДОВ</w:t>
      </w:r>
    </w:p>
    <w:p w:rsidR="006F5C23" w:rsidRDefault="006F5C23">
      <w:pPr>
        <w:pStyle w:val="ConsPlusNormal"/>
        <w:jc w:val="both"/>
      </w:pPr>
    </w:p>
    <w:p w:rsidR="006F5C23" w:rsidRDefault="006F5C23">
      <w:pPr>
        <w:pStyle w:val="ConsPlusNormal"/>
        <w:jc w:val="both"/>
      </w:pPr>
    </w:p>
    <w:p w:rsidR="006F5C23" w:rsidRDefault="00C05E85">
      <w:pPr>
        <w:pStyle w:val="ConsPlusNormal"/>
        <w:spacing w:before="240"/>
        <w:ind w:firstLine="540"/>
        <w:jc w:val="both"/>
      </w:pPr>
      <w:bookmarkStart w:id="2" w:name="Par54"/>
      <w:bookmarkStart w:id="3" w:name="Par223"/>
      <w:bookmarkEnd w:id="2"/>
      <w:bookmarkEnd w:id="3"/>
      <w:r w:rsidRPr="00B80C97">
        <w:rPr>
          <w:b/>
        </w:rPr>
        <w:t>5. Порядок обеспечения граждан лекарственными препаратами</w:t>
      </w:r>
      <w:r>
        <w:t>, а также медицинскими изделиями, включенными в утверждаемый Правительством Российской Федерации перечень медицинских изделий, имплантируемых в организм человека, лечебным питанием, в том числе специализированными продуктами лечебного питания, по назначению врача, а также донорской кровью и ее компонентами по медицинским показаниям в соответствии со стандартами медицинской помощи с учетом видов, условий и форм оказания медицинской помощи, за исключением лечебного питания, в том числе специализированных продуктов лечебного питания (по желанию пациента).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При оказании в рамках Территориальной программы государственных гарантий первичной медико-санитарной помощи в условиях дневного стационара и в неотложной форме, специализированной, в том числе высокотехнологичной, медицинской помощи в стационарных условиях и в условиях дневного стационара,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обеспечение граждан донорской кровью и (или) ее компонентами, лечебным питанием, в том числе специализированными продуктами лечебного питания,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утверждаемым Министерством здравоохранения Российской Федерации, осуществляется бесплатно.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 xml:space="preserve">Обеспечение граждан лекарственными препаратами и медицинскими изделиями осуществляется в соответствии со стандартами медицинской помощи, утвержденными в установленном порядке, и Перечнем жизненно необходимых и важнейших лекарственных </w:t>
      </w:r>
      <w:r>
        <w:lastRenderedPageBreak/>
        <w:t>препаратов, утвержденным в соответствии с Федеральным законом от 12 апреля 2010 г. N 61-ФЗ "Об обращении лекарственных средств". При наличии медицинских показаний (индивидуальная непереносимость, по жизненным показаниям) по решению врачебной комиссии медицинской организации осуществляются назначение и выписывание лекарственных препаратов, не входящих в стандарты медицинской помощи, по торговым наименованиям. Решение врачебной комиссии медицинской организации фиксируется в медицинских документах пациента и журнале врачебной комиссии.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Порядок передачи от медицинской организации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Обеспечение граждан лекарственными препаратами, медицинскими изделиями, имплантируемыми в организм человека, специализированными продуктами лечебного питания при оказании первичной медико-санитарной помощи в амбулаторных условиях производится за счет личных средств граждан, за исключением случаев, когда: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гражданин имеет право на получение государственной социальной помощи в виде набора социальных услуг в соответствии с Федеральным законом от 17 июля 1999 г. N 178-ФЗ "О государственной социальной помощи",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изделиями, имплантируемыми в организм человека, по рецептам на медицинские изделия, а также специализированными продуктами лечебного питания для детей-инвалидов в рамках перечня жизненно необходимых и важнейших лекарственных препаратов для медицинского применения, утвержденного распоряжением Правительства Российской Федерации от 12 октября 2019 г. N 2406-р, а также перечня медицинских изделий, отпускаемых по рецептам на медицинские изделия при предоставлении набора социальных услуг, утвержденного распоряжением Правительства Российской Федерации от 31 декабря 2018 г. N 3053-р, перечня специализированных продуктов лечебного питания для детей-инвалидов на 2023 год, утвержденного распоряжением Правительства Российской Федерации от 05 декабря 2022 г. N 3731-р;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 xml:space="preserve">гражданин имеет право на обеспечение лекарственными препаратами в соответствии с перечнем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а также в соответствии с перечнем групп населения, при амбулаторном лечении которых лекарственные средства отпускаются по рецептам врача с 50-процентной скидкой со свободных цен, в соответствии с постановлением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назначения". </w:t>
      </w:r>
      <w:hyperlink w:anchor="Par6451" w:tooltip="ПЕРЕЧЕНЬ" w:history="1">
        <w:r>
          <w:rPr>
            <w:color w:val="0000FF"/>
          </w:rPr>
          <w:t>Перечень</w:t>
        </w:r>
      </w:hyperlink>
      <w:r>
        <w:t xml:space="preserve">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и перечень групп населения, при амбулаторном лечении которых лекарственные препараты отпускаются по рецептам врача с 50-процентной скидкой со свободных цен, установлены в приложении 4 к Территориальной программе государственных гарантий.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Назначение и выписывание гражданам лекарственных препаратов осуществляются в порядке, предусмотренном действующим законодательством Российской Федерации.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lastRenderedPageBreak/>
        <w:t>Отпуск гражданам лекарственных препаратов, медицинских изделий и специализированных продуктов лечебного питания в соответствии с перечнем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медицинские изделия отпускаются по рецептам врача бесплатно, а также в соответствии с перечнем групп населения, при амбулаторном лечении которых лекарственные препараты отпускаются по рецептам врача с 50-процентной скидкой, осуществляется в соответствии с приказом Министерства здравоохранения Российской Федерации от 24 ноября 2021 г. N 1094н "Об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документов" аптечными организациями, включенными в перечень пунктов отпуска по обеспечению льготных категорий граждан (далее - Перечень пунктов отпуска). Перечень пунктов отпуска утверждается нормативным правовым актом Министерства по результатам проводимого Министерством отбора. Информация о Перечне пунктов отпуска размещается на официальном сайте Министерства.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Обеспечение граждан донорской кровью и (или) ее компонентами осуществляется по медицинским показаниям при оказании специализированной, в том числе высокотехнологичной, медицинской помощи в условиях дневного и круглосуточного стационара, а также при оказании первичной медико-санитарной помощи в амбулаторных условиях и в условиях дневного стационара, в экстренной, неотложной и плановой формах.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Медицинскими организациями, имеющими лицензию на медицинскую деятельность с указанием трансфузиологии в качестве составляющей части лицензируемого вида деятельности, формируются запасы донорской крови и (или) ее компонентов для обеспечения граждан донорской кровью и (или) ее компонентами.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Порядок обеспечения медицинских организаций донорской кровью и (или) ее компонентами для клинического использования утвержден приказом Министерства.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Обеспечение безопасности донорской крови и (или) ее компонентов при их заготовке, хранении, транспортировке и клиническом использовании регламентировано Федеральным законом от 20 июля 2012 г. N 125-ФЗ "О донорстве крови и ее компонентов" и постановлением Правительства Российской Федерации от 22 июня 2019 г. N 797 "Об утверждении Правил заготовки, хранения,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Федерации".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В целях клинического использования донорской крови и (или) ее компонентов в медицинских организациях созданы кабинеты или отделения, обеспечивающие хранение, ведение статистического учета, в том числе в отношении реакций и осложнений, возникших после переливания.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Клиническое использование донорской крови и (или) ее компонентов осуществляется врачом-</w:t>
      </w:r>
      <w:proofErr w:type="spellStart"/>
      <w:r>
        <w:t>трансфузиологом</w:t>
      </w:r>
      <w:proofErr w:type="spellEnd"/>
      <w:r>
        <w:t xml:space="preserve"> или лечащим врачом либо дежурным врачом, которые прошли обучение по вопросам трансфузиологии, на основании клинических рекомендаций (протоколов лечения).</w:t>
      </w:r>
    </w:p>
    <w:p w:rsidR="006F5C23" w:rsidRDefault="00C05E85">
      <w:pPr>
        <w:pStyle w:val="ConsPlusNormal"/>
        <w:spacing w:before="240"/>
        <w:ind w:firstLine="540"/>
        <w:jc w:val="both"/>
      </w:pPr>
      <w:r>
        <w:t>Обеспечение граждан донорской кровью и (или) ее компонентами производится без взимания платы.</w:t>
      </w:r>
    </w:p>
    <w:sectPr w:rsidR="006F5C23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23E" w:rsidRDefault="0052723E">
      <w:pPr>
        <w:spacing w:after="0" w:line="240" w:lineRule="auto"/>
      </w:pPr>
      <w:r>
        <w:separator/>
      </w:r>
    </w:p>
  </w:endnote>
  <w:endnote w:type="continuationSeparator" w:id="0">
    <w:p w:rsidR="0052723E" w:rsidRDefault="00527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C23" w:rsidRDefault="006F5C23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23E" w:rsidRDefault="0052723E">
      <w:pPr>
        <w:spacing w:after="0" w:line="240" w:lineRule="auto"/>
      </w:pPr>
      <w:r>
        <w:separator/>
      </w:r>
    </w:p>
  </w:footnote>
  <w:footnote w:type="continuationSeparator" w:id="0">
    <w:p w:rsidR="0052723E" w:rsidRDefault="00527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C23" w:rsidRDefault="006F5C2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FF"/>
    <w:rsid w:val="0003329F"/>
    <w:rsid w:val="0052723E"/>
    <w:rsid w:val="005F41FF"/>
    <w:rsid w:val="006F5C23"/>
    <w:rsid w:val="00872DA5"/>
    <w:rsid w:val="00A7044D"/>
    <w:rsid w:val="00B80C97"/>
    <w:rsid w:val="00C05E85"/>
    <w:rsid w:val="00CE28F9"/>
    <w:rsid w:val="00D05EB7"/>
    <w:rsid w:val="00F560A4"/>
    <w:rsid w:val="00F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9C7FD7-5392-4808-95F9-02C320DC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329F"/>
  </w:style>
  <w:style w:type="paragraph" w:styleId="a5">
    <w:name w:val="footer"/>
    <w:basedOn w:val="a"/>
    <w:link w:val="a6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3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1451</Words>
  <Characters>8277</Characters>
  <Application>Microsoft Office Word</Application>
  <DocSecurity>2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vt:lpstr>
    </vt:vector>
  </TitlesOfParts>
  <Company>КонсультантПлюс Версия 4023.00.50</Company>
  <LinksUpToDate>false</LinksUpToDate>
  <CharactersWithSpaces>9709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dc:title>
  <dc:subject/>
  <dc:creator>Лоскутова Е.В.</dc:creator>
  <cp:keywords/>
  <dc:description/>
  <cp:lastModifiedBy>Лоскутова Е.В.</cp:lastModifiedBy>
  <cp:revision>2</cp:revision>
  <dcterms:created xsi:type="dcterms:W3CDTF">2024-04-23T11:00:00Z</dcterms:created>
  <dcterms:modified xsi:type="dcterms:W3CDTF">2024-04-23T11:00:00Z</dcterms:modified>
</cp:coreProperties>
</file>